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1D57" w:rsidRDefault="00305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MacEwan Business Glossary</w:t>
      </w:r>
    </w:p>
    <w:p w14:paraId="00000002" w14:textId="77777777" w:rsidR="001D1D57" w:rsidRDefault="00305DC5">
      <w:pPr>
        <w:jc w:val="center"/>
      </w:pPr>
      <w:r>
        <w:rPr>
          <w:b/>
          <w:sz w:val="36"/>
          <w:szCs w:val="36"/>
        </w:rPr>
        <w:t>Definition Procedures and Standards</w:t>
      </w:r>
      <w:r>
        <w:t xml:space="preserve"> </w:t>
      </w:r>
    </w:p>
    <w:p w14:paraId="00000003" w14:textId="77777777" w:rsidR="001D1D57" w:rsidRDefault="001D1D57">
      <w:pPr>
        <w:rPr>
          <w:b/>
          <w:u w:val="single"/>
        </w:rPr>
      </w:pPr>
    </w:p>
    <w:p w14:paraId="00000004" w14:textId="77777777" w:rsidR="001D1D57" w:rsidRDefault="001D1D57"/>
    <w:p w14:paraId="00000005" w14:textId="77777777" w:rsidR="001D1D57" w:rsidRDefault="00305DC5">
      <w:pPr>
        <w:rPr>
          <w:b/>
          <w:u w:val="single"/>
        </w:rPr>
      </w:pPr>
      <w:r>
        <w:rPr>
          <w:b/>
          <w:u w:val="single"/>
        </w:rPr>
        <w:t>Procedures</w:t>
      </w:r>
    </w:p>
    <w:p w14:paraId="00000006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Search</w:t>
      </w:r>
      <w:r>
        <w:rPr>
          <w:color w:val="000000"/>
        </w:rPr>
        <w:t xml:space="preserve"> </w:t>
      </w:r>
      <w:r>
        <w:rPr>
          <w:b/>
          <w:color w:val="000000"/>
        </w:rPr>
        <w:t>for term before creating</w:t>
      </w:r>
    </w:p>
    <w:p w14:paraId="00000007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Use the “Definition Template” definition to get started</w:t>
      </w:r>
      <w:r>
        <w:t xml:space="preserve"> - open it and create a copy then edit as needed.</w:t>
      </w:r>
    </w:p>
    <w:p w14:paraId="00000008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</w:rPr>
      </w:pPr>
      <w:r>
        <w:rPr>
          <w:b/>
          <w:color w:val="000000"/>
        </w:rPr>
        <w:t>Start with what you know…let others add expertise.</w:t>
      </w:r>
      <w:r>
        <w:rPr>
          <w:color w:val="000000"/>
        </w:rPr>
        <w:t xml:space="preserve"> </w:t>
      </w:r>
    </w:p>
    <w:p w14:paraId="00000009" w14:textId="77777777" w:rsidR="001D1D57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 xml:space="preserve">Feel free to create a needed definition and functional area editors will add expertise to refine it further.  If you are editing be sure to add a comment </w:t>
      </w:r>
      <w:r>
        <w:t>to summarize your changes/additions so everyone can see how it evolves.</w:t>
      </w:r>
    </w:p>
    <w:p w14:paraId="0000000A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</w:rPr>
      </w:pPr>
      <w:r>
        <w:rPr>
          <w:b/>
          <w:color w:val="000000"/>
        </w:rPr>
        <w:t>Reference official sources for definition conte</w:t>
      </w:r>
      <w:r>
        <w:rPr>
          <w:b/>
        </w:rPr>
        <w:t>n</w:t>
      </w:r>
      <w:r>
        <w:rPr>
          <w:b/>
          <w:color w:val="000000"/>
        </w:rPr>
        <w:t>t.</w:t>
      </w:r>
      <w:r>
        <w:rPr>
          <w:color w:val="000000"/>
        </w:rPr>
        <w:t xml:space="preserve"> </w:t>
      </w:r>
      <w:r>
        <w:t xml:space="preserve"> Consider definitions that may already exist in official documents instead of creating something new and adding confusion.  If outdat</w:t>
      </w:r>
      <w:r>
        <w:t xml:space="preserve">ed or not suitable bring to governance body for further consideration to align all definition sources. </w:t>
      </w:r>
    </w:p>
    <w:p w14:paraId="0000000B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</w:rPr>
      </w:pPr>
      <w:r>
        <w:rPr>
          <w:b/>
          <w:color w:val="000000"/>
        </w:rPr>
        <w:t>Think of broader definition hierarchy</w:t>
      </w:r>
      <w:r>
        <w:rPr>
          <w:color w:val="000000"/>
        </w:rPr>
        <w:t>.</w:t>
      </w:r>
      <w:r>
        <w:t xml:space="preserve">  Pertains to discussions about </w:t>
      </w:r>
      <w:r>
        <w:rPr>
          <w:b/>
          <w:color w:val="00B050"/>
        </w:rPr>
        <w:t>academic department and departments</w:t>
      </w:r>
      <w:r>
        <w:t xml:space="preserve">, </w:t>
      </w:r>
      <w:r>
        <w:rPr>
          <w:b/>
          <w:color w:val="2E75B5"/>
        </w:rPr>
        <w:t xml:space="preserve">Student ID and Employee ID </w:t>
      </w:r>
      <w:r>
        <w:t>or</w:t>
      </w:r>
      <w:r>
        <w:rPr>
          <w:b/>
        </w:rPr>
        <w:t xml:space="preserve"> </w:t>
      </w:r>
      <w:r>
        <w:rPr>
          <w:b/>
          <w:color w:val="C55911"/>
        </w:rPr>
        <w:t>Program Status,</w:t>
      </w:r>
      <w:r>
        <w:rPr>
          <w:b/>
          <w:color w:val="C55911"/>
        </w:rPr>
        <w:t xml:space="preserve"> Program Action and Program Action Reason </w:t>
      </w:r>
      <w:r>
        <w:t>or</w:t>
      </w:r>
      <w:r>
        <w:rPr>
          <w:b/>
          <w:color w:val="C55911"/>
        </w:rPr>
        <w:t xml:space="preserve"> </w:t>
      </w:r>
      <w:r>
        <w:rPr>
          <w:b/>
          <w:color w:val="674EA7"/>
        </w:rPr>
        <w:t>Course, Subject, Catalog, Section and Class</w:t>
      </w:r>
    </w:p>
    <w:p w14:paraId="0000000C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</w:rPr>
      </w:pPr>
      <w:r>
        <w:rPr>
          <w:b/>
        </w:rPr>
        <w:t xml:space="preserve">Review the following </w:t>
      </w:r>
      <w:hyperlink r:id="rId5">
        <w:r>
          <w:rPr>
            <w:b/>
            <w:color w:val="1155CC"/>
            <w:u w:val="single"/>
          </w:rPr>
          <w:t>MacEwan University Editorial Style Guide</w:t>
        </w:r>
      </w:hyperlink>
      <w:r>
        <w:rPr>
          <w:b/>
        </w:rPr>
        <w:t xml:space="preserve"> to assist with definition contents.</w:t>
      </w:r>
      <w:r>
        <w:t xml:space="preserve"> The focus of a style guide is not a matter of strict enforcement of correct or incorrect grammar or style; its purpose is to provide direction for instances when several possibili</w:t>
      </w:r>
      <w:r>
        <w:t xml:space="preserve">ties exist. </w:t>
      </w:r>
    </w:p>
    <w:p w14:paraId="0000000D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</w:rPr>
      </w:pPr>
      <w:r>
        <w:rPr>
          <w:b/>
        </w:rPr>
        <w:t>Consider the use of terms and related codes.  It is the data managers discretion to combine the term and code in one definition or to create separate definitions.</w:t>
      </w:r>
      <w:r>
        <w:t xml:space="preserve"> For example - program title/description “Bachelor of Arts” and program code “410</w:t>
      </w:r>
      <w:r>
        <w:t>0” are both used to reference programs but there is unique logic and meaning for the codes so there could be separate definitions.  Faculty and school title/description “Faculty of Nursing” and the code “</w:t>
      </w:r>
      <w:proofErr w:type="spellStart"/>
      <w:r>
        <w:t>xxxx</w:t>
      </w:r>
      <w:proofErr w:type="spellEnd"/>
      <w:r>
        <w:t xml:space="preserve">” are both descriptive but have no unique logic </w:t>
      </w:r>
      <w:r>
        <w:t>or meaning so could be included in the same definition.</w:t>
      </w:r>
    </w:p>
    <w:p w14:paraId="0000000E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When </w:t>
      </w:r>
      <w:r>
        <w:rPr>
          <w:b/>
        </w:rPr>
        <w:t>referencing a policy</w:t>
      </w:r>
      <w:r>
        <w:t xml:space="preserve">, use See Policy: </w:t>
      </w:r>
      <w:r>
        <w:rPr>
          <w:i/>
        </w:rPr>
        <w:t xml:space="preserve">Italicize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Name Of The Policy.</w:t>
      </w:r>
      <w:r>
        <w:t xml:space="preserve"> (included on Definition Template)</w:t>
      </w:r>
    </w:p>
    <w:p w14:paraId="0000000F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Policy/Policies should be listed at the end</w:t>
      </w:r>
      <w:r>
        <w:t xml:space="preserve"> of the definition. (included on Definition Te</w:t>
      </w:r>
      <w:r>
        <w:t>mplate)</w:t>
      </w:r>
    </w:p>
    <w:p w14:paraId="00000010" w14:textId="77777777" w:rsidR="001D1D57" w:rsidRDefault="0030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</w:rPr>
      </w:pPr>
      <w:r>
        <w:rPr>
          <w:b/>
        </w:rPr>
        <w:t>Data managers must review comments and remove ‘working note’ prior to approving a definition.</w:t>
      </w:r>
    </w:p>
    <w:p w14:paraId="00000011" w14:textId="4E49B961" w:rsidR="001D1D57" w:rsidRDefault="001D1D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7D599B85" w14:textId="71B042FC" w:rsidR="00305DC5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1206BF8D" w14:textId="27EF3D65" w:rsidR="00305DC5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201315DF" w14:textId="77777777" w:rsidR="00305DC5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bookmarkStart w:id="0" w:name="_GoBack"/>
      <w:bookmarkEnd w:id="0"/>
    </w:p>
    <w:p w14:paraId="00000012" w14:textId="77777777" w:rsidR="001D1D57" w:rsidRDefault="001D1D57">
      <w:pPr>
        <w:spacing w:line="276" w:lineRule="auto"/>
      </w:pPr>
    </w:p>
    <w:p w14:paraId="00000013" w14:textId="77777777" w:rsidR="001D1D57" w:rsidRDefault="00305DC5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Standards</w:t>
      </w:r>
    </w:p>
    <w:p w14:paraId="00000014" w14:textId="77777777" w:rsidR="001D1D57" w:rsidRDefault="001D1D57">
      <w:pPr>
        <w:spacing w:line="276" w:lineRule="auto"/>
      </w:pPr>
    </w:p>
    <w:p w14:paraId="00000015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Terms defined are </w:t>
      </w:r>
      <w:r>
        <w:t>COMMON BUSINESS TERMS</w:t>
      </w:r>
      <w:r>
        <w:rPr>
          <w:color w:val="000000"/>
        </w:rPr>
        <w:t xml:space="preserve"> with reference in functional definition to PeopleSoft field name only if different </w:t>
      </w:r>
      <w:r>
        <w:t xml:space="preserve">also add PeopleSoft field name as Synonym </w:t>
      </w:r>
    </w:p>
    <w:p w14:paraId="00000016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Format in synonym: Academic Level (PeopleSoft)</w:t>
      </w:r>
    </w:p>
    <w:p w14:paraId="00000017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Format in definition: “In PeopleSoft, Year of Study is referred to as </w:t>
      </w:r>
      <w:r>
        <w:rPr>
          <w:i/>
        </w:rPr>
        <w:t>Academic Lev</w:t>
      </w:r>
      <w:r>
        <w:rPr>
          <w:i/>
        </w:rPr>
        <w:t>el</w:t>
      </w:r>
      <w:r>
        <w:t>”</w:t>
      </w:r>
    </w:p>
    <w:p w14:paraId="00000018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Be </w:t>
      </w:r>
      <w:r>
        <w:t>DESCRIPTIVE</w:t>
      </w:r>
      <w:r>
        <w:rPr>
          <w:color w:val="000000"/>
        </w:rPr>
        <w:t xml:space="preserve"> (</w:t>
      </w:r>
      <w:r>
        <w:rPr>
          <w:b/>
          <w:i/>
          <w:color w:val="000000"/>
        </w:rPr>
        <w:t>Term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>Start Date</w:t>
      </w:r>
      <w:r>
        <w:rPr>
          <w:color w:val="000000"/>
        </w:rPr>
        <w:t xml:space="preserve"> instead of </w:t>
      </w:r>
      <w:r>
        <w:rPr>
          <w:b/>
          <w:i/>
          <w:color w:val="000000"/>
        </w:rPr>
        <w:t>Start Date</w:t>
      </w:r>
      <w:r>
        <w:rPr>
          <w:color w:val="000000"/>
        </w:rPr>
        <w:t>)</w:t>
      </w:r>
    </w:p>
    <w:p w14:paraId="00000019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Use </w:t>
      </w:r>
      <w:r>
        <w:t>STANDARD NAMES</w:t>
      </w:r>
      <w:r>
        <w:rPr>
          <w:color w:val="000000"/>
        </w:rPr>
        <w:t xml:space="preserve"> so they can be referenced in other definitions </w:t>
      </w:r>
    </w:p>
    <w:p w14:paraId="0000001A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Avoid numbers and symbols, use complete words, use Title Case</w:t>
      </w:r>
    </w:p>
    <w:p w14:paraId="0000001B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Combine elements where appropriate (</w:t>
      </w:r>
      <w:r>
        <w:rPr>
          <w:b/>
          <w:i/>
          <w:color w:val="000000"/>
        </w:rPr>
        <w:t>Address</w:t>
      </w:r>
      <w:r>
        <w:rPr>
          <w:color w:val="000000"/>
        </w:rPr>
        <w:t xml:space="preserve"> instead of </w:t>
      </w:r>
      <w:r>
        <w:rPr>
          <w:b/>
          <w:i/>
          <w:color w:val="000000"/>
        </w:rPr>
        <w:t>Street Line 1</w:t>
      </w:r>
      <w:r>
        <w:rPr>
          <w:color w:val="000000"/>
        </w:rPr>
        <w:t xml:space="preserve">) </w:t>
      </w:r>
    </w:p>
    <w:p w14:paraId="0000001C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Don’t start a definition with a verb and don’t start by repeating the definition name unless required for context.</w:t>
      </w:r>
    </w:p>
    <w:p w14:paraId="0000001D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Use </w:t>
      </w:r>
      <w:r>
        <w:t>BUSINESS LANGUAGE</w:t>
      </w:r>
      <w:r>
        <w:rPr>
          <w:color w:val="000000"/>
        </w:rPr>
        <w:t>, avoid jargon and abbreviations</w:t>
      </w:r>
    </w:p>
    <w:p w14:paraId="0000001E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Add </w:t>
      </w:r>
      <w:r>
        <w:t>ACRONYMS</w:t>
      </w:r>
      <w:r>
        <w:rPr>
          <w:color w:val="000000"/>
        </w:rPr>
        <w:t xml:space="preserve"> in () after full name or title</w:t>
      </w:r>
    </w:p>
    <w:p w14:paraId="0000001F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To AVOID REDUNDANCY do not refer to MacEwan University within definitions.</w:t>
      </w:r>
    </w:p>
    <w:p w14:paraId="00000020" w14:textId="77777777" w:rsidR="001D1D57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  <w:t xml:space="preserve"> i.e. ‘Applicant to the university’ not ‘Applicant to MacEwan University’</w:t>
      </w:r>
    </w:p>
    <w:p w14:paraId="00000021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Use RELATED </w:t>
      </w:r>
      <w:r>
        <w:t>DEFINITIONS to link terms not linking terms within the definition.</w:t>
      </w:r>
      <w:r>
        <w:rPr>
          <w:color w:val="000000"/>
        </w:rPr>
        <w:t xml:space="preserve"> </w:t>
      </w:r>
    </w:p>
    <w:p w14:paraId="00000022" w14:textId="77777777" w:rsidR="001D1D57" w:rsidRDefault="0030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rPr>
          <w:b/>
        </w:rPr>
        <w:t>Note</w:t>
      </w:r>
      <w:r>
        <w:t>: It was decided not t</w:t>
      </w:r>
      <w:r>
        <w:t xml:space="preserve">o have definitions within definitions to avoid versioning and workload required to maintain links as definitions evolve and change. </w:t>
      </w:r>
    </w:p>
    <w:p w14:paraId="00000023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Add </w:t>
      </w:r>
      <w:r>
        <w:t>BUSINESS RULES</w:t>
      </w:r>
    </w:p>
    <w:p w14:paraId="00000024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List </w:t>
      </w:r>
      <w:r>
        <w:t>VALUES</w:t>
      </w:r>
      <w:r>
        <w:rPr>
          <w:color w:val="000000"/>
        </w:rPr>
        <w:t xml:space="preserve"> </w:t>
      </w:r>
      <w:r>
        <w:t>- be firm and explicit with wording (included on Definition Template)</w:t>
      </w:r>
    </w:p>
    <w:p w14:paraId="00000025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List all acceptable values if 10 or less otherwise, state that list is examples and refer to the full list </w:t>
      </w:r>
    </w:p>
    <w:p w14:paraId="00000026" w14:textId="77777777" w:rsidR="001D1D57" w:rsidRDefault="00305D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Format in definition: use standard bullets</w:t>
      </w:r>
    </w:p>
    <w:p w14:paraId="00000027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Add attachment (list, chart, </w:t>
      </w:r>
      <w:r>
        <w:t>screenshot</w:t>
      </w:r>
      <w:r>
        <w:rPr>
          <w:color w:val="000000"/>
        </w:rPr>
        <w:t>) as appropriate for large number of values</w:t>
      </w:r>
    </w:p>
    <w:p w14:paraId="00000028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Provide URL if long li</w:t>
      </w:r>
      <w:r>
        <w:rPr>
          <w:color w:val="000000"/>
        </w:rPr>
        <w:t>st exists elsewhere</w:t>
      </w:r>
      <w:r>
        <w:t xml:space="preserve">. </w:t>
      </w:r>
    </w:p>
    <w:p w14:paraId="00000029" w14:textId="77777777" w:rsidR="001D1D57" w:rsidRDefault="00305D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</w:rPr>
        <w:t>Note</w:t>
      </w:r>
      <w:r>
        <w:t xml:space="preserve">: DO NOT simply copy the URL and paste in the definition body.  Web services will provide shortcut URLs that are maintained when changes are made to the website.  </w:t>
      </w:r>
    </w:p>
    <w:p w14:paraId="0000002A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Add CONTEXT - specify if a term or definition can be used in more </w:t>
      </w:r>
      <w:r>
        <w:t>than one context and describe the circumstances (included on Definition Template)</w:t>
      </w:r>
    </w:p>
    <w:p w14:paraId="0000002B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Format in definition: provide context heading in bold i.e. Internal and External for Year of Study, Academic Departments and Departments for Faculty/School</w:t>
      </w:r>
    </w:p>
    <w:p w14:paraId="0000002C" w14:textId="77777777" w:rsidR="001D1D57" w:rsidRDefault="00305DC5">
      <w:pPr>
        <w:numPr>
          <w:ilvl w:val="0"/>
          <w:numId w:val="2"/>
        </w:numPr>
        <w:spacing w:line="276" w:lineRule="auto"/>
      </w:pPr>
      <w:r>
        <w:t>Reference OFFICIAL</w:t>
      </w:r>
      <w:r>
        <w:t xml:space="preserve"> SOURCES for definition context. If there is a direct connection between definition and source add a reference or link to the source i.e. Policy 1005 Credentials for credential type or MSA Collective Agreement for term employees.</w:t>
      </w:r>
    </w:p>
    <w:p w14:paraId="0000002D" w14:textId="77777777" w:rsidR="001D1D57" w:rsidRDefault="00305DC5">
      <w:pPr>
        <w:numPr>
          <w:ilvl w:val="1"/>
          <w:numId w:val="2"/>
        </w:numPr>
        <w:spacing w:line="276" w:lineRule="auto"/>
      </w:pPr>
      <w:r>
        <w:t>Format in definition: “See</w:t>
      </w:r>
      <w:r>
        <w:t xml:space="preserve"> Policy or See Policies: then list and italicize</w:t>
      </w:r>
    </w:p>
    <w:p w14:paraId="0000002E" w14:textId="77777777" w:rsidR="001D1D57" w:rsidRDefault="00305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SOURCE of Definition will be the office or business unit or official document if relevant i.e. Office of the University Registrar, MSA Collective Agreement</w:t>
      </w:r>
    </w:p>
    <w:p w14:paraId="0000002F" w14:textId="77777777" w:rsidR="001D1D57" w:rsidRDefault="00305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 xml:space="preserve">if the source has a time period associated then it should be referenced as well i.e. MSA Collective </w:t>
      </w:r>
      <w:r>
        <w:t xml:space="preserve">Agreement 2017-2019 </w:t>
      </w:r>
    </w:p>
    <w:p w14:paraId="00000030" w14:textId="77777777" w:rsidR="001D1D57" w:rsidRDefault="001D1D5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1D1D57">
      <w:pgSz w:w="12240" w:h="15840"/>
      <w:pgMar w:top="630" w:right="1440" w:bottom="99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C84"/>
    <w:multiLevelType w:val="multilevel"/>
    <w:tmpl w:val="9D16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99C"/>
    <w:multiLevelType w:val="multilevel"/>
    <w:tmpl w:val="FD929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57"/>
    <w:rsid w:val="001D1D57"/>
    <w:rsid w:val="003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026B"/>
  <w15:docId w15:val="{6BDCC20D-41E9-3543-90DA-4BCBA5E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ewan.ca/contribute/groups/public/documents/document/x2vk/x3n0/~edisp/macewan_university_ed_sty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Dreger</cp:lastModifiedBy>
  <cp:revision>2</cp:revision>
  <dcterms:created xsi:type="dcterms:W3CDTF">2019-11-04T19:46:00Z</dcterms:created>
  <dcterms:modified xsi:type="dcterms:W3CDTF">2019-11-04T19:46:00Z</dcterms:modified>
</cp:coreProperties>
</file>